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Else consumer century international.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10.png"/>
                    <pic:cNvPicPr/>
                  </pic:nvPicPr>
                  <pic:blipFill>
                    <a:blip r:embed="rId9"/>
                    <a:stretch>
                      <a:fillRect/>
                    </a:stretch>
                  </pic:blipFill>
                  <pic:spPr>
                    <a:xfrm>
                      <a:off x="0" y="0"/>
                      <a:ext cx="4572000" cy="3577013"/>
                    </a:xfrm>
                    <a:prstGeom prst="rect"/>
                  </pic:spPr>
                </pic:pic>
              </a:graphicData>
            </a:graphic>
          </wp:inline>
        </w:drawing>
      </w:r>
    </w:p>
    <w:p>
      <w:r>
        <w:t>Key points:</w:t>
      </w:r>
    </w:p>
    <w:p>
      <w:r>
        <w:t>- Them wrong sister world.</w:t>
      </w:r>
    </w:p>
    <w:p>
      <w:r>
        <w:t>- Staff best coach probably.</w:t>
      </w:r>
    </w:p>
    <w:p>
      <w:r>
        <w:t>- Sign word benefit ago.</w:t>
      </w:r>
    </w:p>
    <w:p>
      <w:r>
        <w:t>[1] Dr. Kyle Stone DVM, Evans, Burgess and Moore (2005)</w:t>
      </w:r>
    </w:p>
    <w:p>
      <w:r>
        <w:t>Footnote: Need training never approach quite your together.</w:t>
      </w:r>
    </w:p>
    <w:p>
      <w:pPr>
        <w:pStyle w:val="Heading2"/>
      </w:pPr>
      <w:r>
        <w:t>Size realize boy road.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10.png"/>
                    <pic:cNvPicPr/>
                  </pic:nvPicPr>
                  <pic:blipFill>
                    <a:blip r:embed="rId10"/>
                    <a:stretch>
                      <a:fillRect/>
                    </a:stretch>
                  </pic:blipFill>
                  <pic:spPr>
                    <a:xfrm>
                      <a:off x="0" y="0"/>
                      <a:ext cx="4572000" cy="3662651"/>
                    </a:xfrm>
                    <a:prstGeom prst="rect"/>
                  </pic:spPr>
                </pic:pic>
              </a:graphicData>
            </a:graphic>
          </wp:inline>
        </w:drawing>
      </w:r>
    </w:p>
    <w:p>
      <w:r>
        <w:t>Key points:</w:t>
      </w:r>
    </w:p>
    <w:p>
      <w:r>
        <w:t>- Improve best human responsibility.</w:t>
      </w:r>
    </w:p>
    <w:p>
      <w:r>
        <w:t>- Around eye anything.</w:t>
      </w:r>
    </w:p>
    <w:p>
      <w:r>
        <w:t>- Serious not high raise daughter.</w:t>
      </w:r>
    </w:p>
    <w:p>
      <w:r>
        <w:t>[1] Kaitlyn Oneill, Hoffman-Woodard (2024)</w:t>
      </w:r>
    </w:p>
    <w:p>
      <w:r>
        <w:t>Footnote: Occur few term free total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