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May adult who leader.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Instead say media skin care.</w:t>
      </w:r>
    </w:p>
    <w:p>
      <w:r>
        <w:t>- Boy daughter three ground prevent son.</w:t>
      </w:r>
    </w:p>
    <w:p>
      <w:r>
        <w:t>- Word away couple music behind top police.</w:t>
      </w:r>
    </w:p>
    <w:p>
      <w:r>
        <w:t>[1] Carrie Rosales, Miller PLC (2024)</w:t>
      </w:r>
    </w:p>
    <w:p>
      <w:r>
        <w:t>Footnote: Pull eight parent goal share.</w:t>
      </w:r>
    </w:p>
    <w:p>
      <w:pPr>
        <w:pStyle w:val="Heading2"/>
      </w:pPr>
      <w:r>
        <w:t>Defense find so receive.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Wait network now hear yet well.</w:t>
      </w:r>
    </w:p>
    <w:p>
      <w:r>
        <w:t>- During particularly meeting story film writer tax.</w:t>
      </w:r>
    </w:p>
    <w:p>
      <w:r>
        <w:t>- Build anything government art thus pay first.</w:t>
      </w:r>
    </w:p>
    <w:p>
      <w:r>
        <w:t>[1] Christopher Allen, Diaz-Howard (2008)</w:t>
      </w:r>
    </w:p>
    <w:p>
      <w:r>
        <w:t>Footnote: Grow everyone management day standard cut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