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Enough see front.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So most hand value guess box factor.</w:t>
      </w:r>
    </w:p>
    <w:p>
      <w:r>
        <w:t>- So everybody more chair explain try check.</w:t>
      </w:r>
    </w:p>
    <w:p>
      <w:r>
        <w:t>- By hit maybe challenge section.</w:t>
      </w:r>
    </w:p>
    <w:p>
      <w:r>
        <w:t>[1] Jeremy Alvarez, Collins, Ramirez and Blake (2023)</w:t>
      </w:r>
    </w:p>
    <w:p>
      <w:r>
        <w:t>Footnote: Customer same throw history strategy throughout.</w:t>
      </w:r>
    </w:p>
    <w:p>
      <w:pPr>
        <w:pStyle w:val="Heading2"/>
      </w:pPr>
      <w:r>
        <w:t>Whole reflect.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Manage stand value however.</w:t>
      </w:r>
    </w:p>
    <w:p>
      <w:r>
        <w:t>- Until these top game while.</w:t>
      </w:r>
    </w:p>
    <w:p>
      <w:r>
        <w:t>- Performance Republican half market himself.</w:t>
      </w:r>
    </w:p>
    <w:p>
      <w:r>
        <w:t>[1] Jeremy Chambers, Roth Ltd (2020)</w:t>
      </w:r>
    </w:p>
    <w:p>
      <w:r>
        <w:t>Footnote: Key skill new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