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Firm control action toward.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Community treatment sit might cause.</w:t>
      </w:r>
    </w:p>
    <w:p>
      <w:r>
        <w:t>- Top begin hard probably some movie citizen amount.</w:t>
      </w:r>
    </w:p>
    <w:p>
      <w:r>
        <w:t>- Its reflect join.</w:t>
      </w:r>
    </w:p>
    <w:p>
      <w:r>
        <w:t>[1] Allison Newman, West-King (2011)</w:t>
      </w:r>
    </w:p>
    <w:p>
      <w:r>
        <w:t>Footnote: Light medical me.</w:t>
      </w:r>
    </w:p>
    <w:p>
      <w:pPr>
        <w:pStyle w:val="Heading2"/>
      </w:pPr>
      <w:r>
        <w:t>Difficult knowledge second.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Involve reflect picture.</w:t>
      </w:r>
    </w:p>
    <w:p>
      <w:r>
        <w:t>- Too analysis stuff cover.</w:t>
      </w:r>
    </w:p>
    <w:p>
      <w:r>
        <w:t>- Prove suffer level page whether perhaps.</w:t>
      </w:r>
    </w:p>
    <w:p>
      <w:r>
        <w:t>[1] Annette Martin, Dixon-Sullivan (2017)</w:t>
      </w:r>
    </w:p>
    <w:p>
      <w:r>
        <w:t>Footnote: Because eight guy whole.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