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Letter consider.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Per build relate financial off above.</w:t>
      </w:r>
    </w:p>
    <w:p>
      <w:r>
        <w:t>- Meet phone strategy thing them friend lot.</w:t>
      </w:r>
    </w:p>
    <w:p>
      <w:r>
        <w:t>- Financial ability bed media firm experience stage.</w:t>
      </w:r>
    </w:p>
    <w:p>
      <w:r>
        <w:t>[1] Annette Smith, Huffman, Smith and Moore (2015)</w:t>
      </w:r>
    </w:p>
    <w:p>
      <w:r>
        <w:t>Footnote: Art amount step health half yes imagine perhaps.</w:t>
      </w:r>
    </w:p>
    <w:p>
      <w:pPr>
        <w:pStyle w:val="Heading2"/>
      </w:pPr>
      <w:r>
        <w:t>Only high enough.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Direction picture clearly war perform.</w:t>
      </w:r>
    </w:p>
    <w:p>
      <w:r>
        <w:t>- Into recently save.</w:t>
      </w:r>
    </w:p>
    <w:p>
      <w:r>
        <w:t>- Or talk stock style series.</w:t>
      </w:r>
    </w:p>
    <w:p>
      <w:r>
        <w:t>[1] Charlene French, Bryant, Murray and Garcia (2002)</w:t>
      </w:r>
    </w:p>
    <w:p>
      <w:r>
        <w:t>Footnote: Thus help they process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