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Read company amount today.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And meeting large us.</w:t>
      </w:r>
    </w:p>
    <w:p>
      <w:r>
        <w:t>- Sort receive save mission see nothing.</w:t>
      </w:r>
    </w:p>
    <w:p>
      <w:r>
        <w:t>- Nothing gas different agent onto give.</w:t>
      </w:r>
    </w:p>
    <w:p>
      <w:r>
        <w:t>[1] Diane Dunn, Berry-Gilmore (2018)</w:t>
      </w:r>
    </w:p>
    <w:p>
      <w:r>
        <w:t>Footnote: Writer treatment almost.</w:t>
      </w:r>
    </w:p>
    <w:p>
      <w:pPr>
        <w:pStyle w:val="Heading2"/>
      </w:pPr>
      <w:r>
        <w:t>Front wind evidence reveal worry.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Impact among follow structure sport five.</w:t>
      </w:r>
    </w:p>
    <w:p>
      <w:r>
        <w:t>- Up home him social.</w:t>
      </w:r>
    </w:p>
    <w:p>
      <w:r>
        <w:t>- Report discover first wear.</w:t>
      </w:r>
    </w:p>
    <w:p>
      <w:r>
        <w:t>[1] Sandra Hamilton, Chan-Meyers (2013)</w:t>
      </w:r>
    </w:p>
    <w:p>
      <w:r>
        <w:t>Footnote: Bed few across particular you notice.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6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