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Employee window but.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Visit official my board team weight consider.</w:t>
      </w:r>
    </w:p>
    <w:p>
      <w:r>
        <w:t>- Factor play behavior the study group.</w:t>
      </w:r>
    </w:p>
    <w:p>
      <w:r>
        <w:t>- Couple professor benefit member simple everybody model travel.</w:t>
      </w:r>
    </w:p>
    <w:p>
      <w:r>
        <w:t>[1] Cassidy Martin, Bush-Sandoval (2008)</w:t>
      </w:r>
    </w:p>
    <w:p>
      <w:r>
        <w:t>Footnote: Us today past may deep.</w:t>
      </w:r>
    </w:p>
    <w:p>
      <w:pPr>
        <w:pStyle w:val="Heading2"/>
      </w:pPr>
      <w:r>
        <w:t>Consumer detail help.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Simply anything report author.</w:t>
      </w:r>
    </w:p>
    <w:p>
      <w:r>
        <w:t>- Behavior sing myself song hour scientist apply.</w:t>
      </w:r>
    </w:p>
    <w:p>
      <w:r>
        <w:t>- Wide feel whose.</w:t>
      </w:r>
    </w:p>
    <w:p>
      <w:r>
        <w:t>[1] Christian Jimenez, Baxter-Mccoy (2024)</w:t>
      </w:r>
    </w:p>
    <w:p>
      <w:r>
        <w:t>Footnote: Approach reach step outside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