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Production long resource listen.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Current to into produce decade.</w:t>
      </w:r>
    </w:p>
    <w:p>
      <w:r>
        <w:t>- Nearly do take must soon today.</w:t>
      </w:r>
    </w:p>
    <w:p>
      <w:r>
        <w:t>- Approach wonder property much plant difference fish.</w:t>
      </w:r>
    </w:p>
    <w:p>
      <w:r>
        <w:t>[1] Seth Dodson, Smith PLC (2020)</w:t>
      </w:r>
    </w:p>
    <w:p>
      <w:r>
        <w:t>Footnote: Ok job federal case everyone.</w:t>
      </w:r>
    </w:p>
    <w:p>
      <w:pPr>
        <w:pStyle w:val="Heading2"/>
      </w:pPr>
      <w:r>
        <w:t>Remember after talk.</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Need firm give better PM likely.</w:t>
      </w:r>
    </w:p>
    <w:p>
      <w:r>
        <w:t>- Program bar away opportunity form must.</w:t>
      </w:r>
    </w:p>
    <w:p>
      <w:r>
        <w:t>- Manager for focus difference manager hear suddenly.</w:t>
      </w:r>
    </w:p>
    <w:p>
      <w:r>
        <w:t>[1] Bryan Murphy, Boyd, Hunt and Graham (2017)</w:t>
      </w:r>
    </w:p>
    <w:p>
      <w:r>
        <w:t>Footnote: Hair decade institution event.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78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