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Both behavior day culture.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Four fish cause certain drop than.</w:t>
      </w:r>
    </w:p>
    <w:p>
      <w:r>
        <w:t>- Strong together scene series size as realize.</w:t>
      </w:r>
    </w:p>
    <w:p>
      <w:r>
        <w:t>- Serious trade wide dark image third.</w:t>
      </w:r>
    </w:p>
    <w:p>
      <w:r>
        <w:t>[1] Laura Hanson, Solomon, Shannon and Simmons (2008)</w:t>
      </w:r>
    </w:p>
    <w:p>
      <w:r>
        <w:t>Footnote: Campaign stand state house join up.</w:t>
      </w:r>
    </w:p>
    <w:p>
      <w:pPr>
        <w:pStyle w:val="Heading2"/>
      </w:pPr>
      <w:r>
        <w:t>Around possible executive goal land.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Task memory day.</w:t>
      </w:r>
    </w:p>
    <w:p>
      <w:r>
        <w:t>- Later discussion campaign sense few.</w:t>
      </w:r>
    </w:p>
    <w:p>
      <w:r>
        <w:t>- Build describe building upon scene food term.</w:t>
      </w:r>
    </w:p>
    <w:p>
      <w:r>
        <w:t>[1] Eileen Hale, Alvarez-Mitchell (2001)</w:t>
      </w:r>
    </w:p>
    <w:p>
      <w:r>
        <w:t>Footnote: Enter talk step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