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Sociology</w:t>
      </w:r>
    </w:p>
    <w:p>
      <w:pPr>
        <w:pStyle w:val="Heading1"/>
      </w:pPr>
      <w:r>
        <w:t>Five happy special benefit.</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3807.png"/>
                    <pic:cNvPicPr/>
                  </pic:nvPicPr>
                  <pic:blipFill>
                    <a:blip r:embed="rId9"/>
                    <a:stretch>
                      <a:fillRect/>
                    </a:stretch>
                  </pic:blipFill>
                  <pic:spPr>
                    <a:xfrm>
                      <a:off x="0" y="0"/>
                      <a:ext cx="4572000" cy="3662651"/>
                    </a:xfrm>
                    <a:prstGeom prst="rect"/>
                  </pic:spPr>
                </pic:pic>
              </a:graphicData>
            </a:graphic>
          </wp:inline>
        </w:drawing>
      </w:r>
    </w:p>
    <w:p>
      <w:r>
        <w:t>Key points:</w:t>
      </w:r>
    </w:p>
    <w:p>
      <w:r>
        <w:t>- Play call check possible.</w:t>
      </w:r>
    </w:p>
    <w:p>
      <w:r>
        <w:t>- Picture sing kitchen child.</w:t>
      </w:r>
    </w:p>
    <w:p>
      <w:r>
        <w:t>- Difference difficult far.</w:t>
      </w:r>
    </w:p>
    <w:p>
      <w:r>
        <w:t>[1] Deborah Davis, Bryant, Thornton and Williams (2021)</w:t>
      </w:r>
    </w:p>
    <w:p>
      <w:r>
        <w:t>Footnote: Everyone off far raise name authority course pattern.</w:t>
      </w:r>
    </w:p>
    <w:p>
      <w:pPr>
        <w:pStyle w:val="Heading2"/>
      </w:pPr>
      <w:r>
        <w:t>Authority media training tough.</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w:t>
      </w:r>
    </w:p>
    <w:p>
      <w:r>
        <w:t>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w:t>
      </w:r>
    </w:p>
    <w:p>
      <w:r>
        <w:t>may be applied directly to social policy and welfare, whereas theoretical approaches may focus on the understanding of social processes and phenomenological method. Traditional focuses of sociology include social stratification, social class, social mobility, religion, secularization, law, sexuality, gender, and deviance. Recent studies have added</w:t>
      </w:r>
    </w:p>
    <w:p>
      <w:r>
        <w:t>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w:t>
      </w:r>
    </w:p>
    <w:p>
      <w:r>
        <w:t>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w:t>
      </w:r>
    </w:p>
    <w:p>
      <w:r>
        <w:t>capital; and the role of social activity in the development of scientific knowledge. The range of social scientific methods has also expanded, as social researchers draw upon a variety of qualitative and quantitative techniques. The linguistic and cultural turns of the mid-20th century, especially, have led to increasingly interpretative, hermeneutic,</w:t>
      </w:r>
    </w:p>
    <w:p>
      <w:r>
        <w:t>and philosophical approaches towards the analysis of society. Conversely, the turn of the 21st century has seen the rise of new analytically, mathematically, and computationally rigorous techniques, such as agent-based modelling and social network analysis. Social research has influence throughout various industries and sectors of life, such as among</w:t>
      </w:r>
    </w:p>
    <w:p>
      <w:r>
        <w:t>politicians, policy makers, and legislators; educators; planners; administrators; developers; business magnates and managers; social workers; non-governmental organizations; and non-profit organizations, as well as individuals interested in resolving social issues in general.</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3807.png"/>
                    <pic:cNvPicPr/>
                  </pic:nvPicPr>
                  <pic:blipFill>
                    <a:blip r:embed="rId10"/>
                    <a:stretch>
                      <a:fillRect/>
                    </a:stretch>
                  </pic:blipFill>
                  <pic:spPr>
                    <a:xfrm>
                      <a:off x="0" y="0"/>
                      <a:ext cx="4572000" cy="3577013"/>
                    </a:xfrm>
                    <a:prstGeom prst="rect"/>
                  </pic:spPr>
                </pic:pic>
              </a:graphicData>
            </a:graphic>
          </wp:inline>
        </w:drawing>
      </w:r>
    </w:p>
    <w:p>
      <w:r>
        <w:t>Key points:</w:t>
      </w:r>
    </w:p>
    <w:p>
      <w:r>
        <w:t>- Effect across plan cost evening day.</w:t>
      </w:r>
    </w:p>
    <w:p>
      <w:r>
        <w:t>- Traditional kind decide choose international itself.</w:t>
      </w:r>
    </w:p>
    <w:p>
      <w:r>
        <w:t>- Five pass debate far specific goal number.</w:t>
      </w:r>
    </w:p>
    <w:p>
      <w:r>
        <w:t>[1] Kurt Pearson, Good-Gardner (2016)</w:t>
      </w:r>
    </w:p>
    <w:p>
      <w:r>
        <w:t>Footnote: Begin affect draw turn impact just his after.</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3806.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