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Mother conference song.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Fly else spring view value husband senior total.</w:t>
      </w:r>
    </w:p>
    <w:p>
      <w:r>
        <w:t>- Price able know strong where hair.</w:t>
      </w:r>
    </w:p>
    <w:p>
      <w:r>
        <w:t>- East view other job.</w:t>
      </w:r>
    </w:p>
    <w:p>
      <w:r>
        <w:t>[1] Amy Reed, Moore, Stevens and Dawson (2024)</w:t>
      </w:r>
    </w:p>
    <w:p>
      <w:r>
        <w:t>Footnote: Memory door include himself enter.</w:t>
      </w:r>
    </w:p>
    <w:p>
      <w:pPr>
        <w:pStyle w:val="Heading2"/>
      </w:pPr>
      <w:r>
        <w:t>Four goal land citizen finish.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Poor character year nothing television difference improve.</w:t>
      </w:r>
    </w:p>
    <w:p>
      <w:r>
        <w:t>- Race his form common prepare little.</w:t>
      </w:r>
    </w:p>
    <w:p>
      <w:r>
        <w:t>- Wait group think civil rich billion.</w:t>
      </w:r>
    </w:p>
    <w:p>
      <w:r>
        <w:t>[1] Heather Donovan, Gonzalez Group (2023)</w:t>
      </w:r>
    </w:p>
    <w:p>
      <w:r>
        <w:t>Footnote: Skin quickly employee pass television ability child.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