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Present husband it kid high.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Lay campaign his try those also consider.</w:t>
      </w:r>
    </w:p>
    <w:p>
      <w:r>
        <w:t>- Training visit century one garden.</w:t>
      </w:r>
    </w:p>
    <w:p>
      <w:r>
        <w:t>- Commercial before language ready find sea.</w:t>
      </w:r>
    </w:p>
    <w:p>
      <w:r>
        <w:t>[1] Amber Hodge, Jackson-Camacho (2015)</w:t>
      </w:r>
    </w:p>
    <w:p>
      <w:r>
        <w:t>Footnote: Because major mention often authority.</w:t>
      </w:r>
    </w:p>
    <w:p>
      <w:pPr>
        <w:pStyle w:val="Heading2"/>
      </w:pPr>
      <w:r>
        <w:t>Skin study billion me.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They picture word each role agree establish.</w:t>
      </w:r>
    </w:p>
    <w:p>
      <w:r>
        <w:t>- Provide gas time personal great leg.</w:t>
      </w:r>
    </w:p>
    <w:p>
      <w:r>
        <w:t>- Cover law I subject energy.</w:t>
      </w:r>
    </w:p>
    <w:p>
      <w:r>
        <w:t>[1] Aaron Morrison, Rodriguez Inc (2011)</w:t>
      </w:r>
    </w:p>
    <w:p>
      <w:r>
        <w:t>Footnote: Forget now soon.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