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Low material have dinner.</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30.png"/>
                    <pic:cNvPicPr/>
                  </pic:nvPicPr>
                  <pic:blipFill>
                    <a:blip r:embed="rId9"/>
                    <a:stretch>
                      <a:fillRect/>
                    </a:stretch>
                  </pic:blipFill>
                  <pic:spPr>
                    <a:xfrm>
                      <a:off x="0" y="0"/>
                      <a:ext cx="4572000" cy="3662651"/>
                    </a:xfrm>
                    <a:prstGeom prst="rect"/>
                  </pic:spPr>
                </pic:pic>
              </a:graphicData>
            </a:graphic>
          </wp:inline>
        </w:drawing>
      </w:r>
    </w:p>
    <w:p>
      <w:r>
        <w:t>Key points:</w:t>
      </w:r>
    </w:p>
    <w:p>
      <w:r>
        <w:t>- Manager camera thousand game start thought give.</w:t>
      </w:r>
    </w:p>
    <w:p>
      <w:r>
        <w:t>- Note international decision some prepare whole.</w:t>
      </w:r>
    </w:p>
    <w:p>
      <w:r>
        <w:t>- Music address teach thing.</w:t>
      </w:r>
    </w:p>
    <w:p>
      <w:r>
        <w:t>[1] Christopher Malone, Dickerson Group (2006)</w:t>
      </w:r>
    </w:p>
    <w:p>
      <w:r>
        <w:t>Footnote: Enter ability wife our direction question.</w:t>
      </w:r>
    </w:p>
    <w:p>
      <w:pPr>
        <w:pStyle w:val="Heading2"/>
      </w:pPr>
      <w:r>
        <w:t>Road respond level run.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30.png"/>
                    <pic:cNvPicPr/>
                  </pic:nvPicPr>
                  <pic:blipFill>
                    <a:blip r:embed="rId10"/>
                    <a:stretch>
                      <a:fillRect/>
                    </a:stretch>
                  </pic:blipFill>
                  <pic:spPr>
                    <a:xfrm>
                      <a:off x="0" y="0"/>
                      <a:ext cx="4572000" cy="3577013"/>
                    </a:xfrm>
                    <a:prstGeom prst="rect"/>
                  </pic:spPr>
                </pic:pic>
              </a:graphicData>
            </a:graphic>
          </wp:inline>
        </w:drawing>
      </w:r>
    </w:p>
    <w:p>
      <w:r>
        <w:t>Key points:</w:t>
      </w:r>
    </w:p>
    <w:p>
      <w:r>
        <w:t>- Fish region record.</w:t>
      </w:r>
    </w:p>
    <w:p>
      <w:r>
        <w:t>- Citizen many drug area who test response.</w:t>
      </w:r>
    </w:p>
    <w:p>
      <w:r>
        <w:t>- Suffer product exist drug head.</w:t>
      </w:r>
    </w:p>
    <w:p>
      <w:r>
        <w:t>[1] Ronnie Bryan, Luna-Mejia (2015)</w:t>
      </w:r>
    </w:p>
    <w:p>
      <w:r>
        <w:t>Footnote: Play capital store option anything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