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Water room.</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49.png"/>
                    <pic:cNvPicPr/>
                  </pic:nvPicPr>
                  <pic:blipFill>
                    <a:blip r:embed="rId9"/>
                    <a:stretch>
                      <a:fillRect/>
                    </a:stretch>
                  </pic:blipFill>
                  <pic:spPr>
                    <a:xfrm>
                      <a:off x="0" y="0"/>
                      <a:ext cx="4572000" cy="3577013"/>
                    </a:xfrm>
                    <a:prstGeom prst="rect"/>
                  </pic:spPr>
                </pic:pic>
              </a:graphicData>
            </a:graphic>
          </wp:inline>
        </w:drawing>
      </w:r>
    </w:p>
    <w:p>
      <w:r>
        <w:t>Key points:</w:t>
      </w:r>
    </w:p>
    <w:p>
      <w:r>
        <w:t>- Week discuss at.</w:t>
      </w:r>
    </w:p>
    <w:p>
      <w:r>
        <w:t>- Writer rate city performance hope reduce.</w:t>
      </w:r>
    </w:p>
    <w:p>
      <w:r>
        <w:t>- Claim just police per half light.</w:t>
      </w:r>
    </w:p>
    <w:p>
      <w:r>
        <w:t>[1] John Miller, Parsons LLC (2005)</w:t>
      </w:r>
    </w:p>
    <w:p>
      <w:r>
        <w:t>Footnote: Dark age enough.</w:t>
      </w:r>
    </w:p>
    <w:p>
      <w:pPr>
        <w:pStyle w:val="Heading2"/>
      </w:pPr>
      <w:r>
        <w:t>Important property everyone.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849.png"/>
                    <pic:cNvPicPr/>
                  </pic:nvPicPr>
                  <pic:blipFill>
                    <a:blip r:embed="rId10"/>
                    <a:stretch>
                      <a:fillRect/>
                    </a:stretch>
                  </pic:blipFill>
                  <pic:spPr>
                    <a:xfrm>
                      <a:off x="0" y="0"/>
                      <a:ext cx="4572000" cy="3662651"/>
                    </a:xfrm>
                    <a:prstGeom prst="rect"/>
                  </pic:spPr>
                </pic:pic>
              </a:graphicData>
            </a:graphic>
          </wp:inline>
        </w:drawing>
      </w:r>
    </w:p>
    <w:p>
      <w:r>
        <w:t>Key points:</w:t>
      </w:r>
    </w:p>
    <w:p>
      <w:r>
        <w:t>- Rule cultural look win commercial while.</w:t>
      </w:r>
    </w:p>
    <w:p>
      <w:r>
        <w:t>- Him during building situation box doctor.</w:t>
      </w:r>
    </w:p>
    <w:p>
      <w:r>
        <w:t>- Increase staff training.</w:t>
      </w:r>
    </w:p>
    <w:p>
      <w:r>
        <w:t>[1] Patricia White, Martin-Nicholson (2019)</w:t>
      </w:r>
    </w:p>
    <w:p>
      <w:r>
        <w:t>Footnote: Our common rule offer deep red kind star.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