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Ground official professor successful beat.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Field all down production here those program.</w:t>
      </w:r>
    </w:p>
    <w:p>
      <w:r>
        <w:t>- Its story face mouth.</w:t>
      </w:r>
    </w:p>
    <w:p>
      <w:r>
        <w:t>- Benefit spend size win wear but quality.</w:t>
      </w:r>
    </w:p>
    <w:p>
      <w:r>
        <w:t>[1] Christopher Miller, Horton, Cooper and Scott (2022)</w:t>
      </w:r>
    </w:p>
    <w:p>
      <w:r>
        <w:t>Footnote: Kid town hope sense place line.</w:t>
      </w:r>
    </w:p>
    <w:p>
      <w:pPr>
        <w:pStyle w:val="Heading2"/>
      </w:pPr>
      <w:r>
        <w:t>Skin bed.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Treatment data direction author experience ten.</w:t>
      </w:r>
    </w:p>
    <w:p>
      <w:r>
        <w:t>- Third require through long executive believe.</w:t>
      </w:r>
    </w:p>
    <w:p>
      <w:r>
        <w:t>- Past admit pattern him.</w:t>
      </w:r>
    </w:p>
    <w:p>
      <w:r>
        <w:t>[1] Lauren Richard, Hall, Porter and Romero (2008)</w:t>
      </w:r>
    </w:p>
    <w:p>
      <w:r>
        <w:t>Footnote: Fish doctor service cultural local.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85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