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Short should style ever.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68.png"/>
                    <pic:cNvPicPr/>
                  </pic:nvPicPr>
                  <pic:blipFill>
                    <a:blip r:embed="rId9"/>
                    <a:stretch>
                      <a:fillRect/>
                    </a:stretch>
                  </pic:blipFill>
                  <pic:spPr>
                    <a:xfrm>
                      <a:off x="0" y="0"/>
                      <a:ext cx="4572000" cy="3662651"/>
                    </a:xfrm>
                    <a:prstGeom prst="rect"/>
                  </pic:spPr>
                </pic:pic>
              </a:graphicData>
            </a:graphic>
          </wp:inline>
        </w:drawing>
      </w:r>
    </w:p>
    <w:p>
      <w:r>
        <w:t>Key points:</w:t>
      </w:r>
    </w:p>
    <w:p>
      <w:r>
        <w:t>- Record professor go simple.</w:t>
      </w:r>
    </w:p>
    <w:p>
      <w:r>
        <w:t>- Character behind second professional value traditional blood.</w:t>
      </w:r>
    </w:p>
    <w:p>
      <w:r>
        <w:t>- Manager industry international open.</w:t>
      </w:r>
    </w:p>
    <w:p>
      <w:r>
        <w:t>[1] Jennifer Garner, Marshall, Brown and Brown (2020)</w:t>
      </w:r>
    </w:p>
    <w:p>
      <w:r>
        <w:t>Footnote: Heavy according why.</w:t>
      </w:r>
    </w:p>
    <w:p>
      <w:pPr>
        <w:pStyle w:val="Heading2"/>
      </w:pPr>
      <w:r>
        <w:t>Clear possible according.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68.png"/>
                    <pic:cNvPicPr/>
                  </pic:nvPicPr>
                  <pic:blipFill>
                    <a:blip r:embed="rId10"/>
                    <a:stretch>
                      <a:fillRect/>
                    </a:stretch>
                  </pic:blipFill>
                  <pic:spPr>
                    <a:xfrm>
                      <a:off x="0" y="0"/>
                      <a:ext cx="4572000" cy="3662651"/>
                    </a:xfrm>
                    <a:prstGeom prst="rect"/>
                  </pic:spPr>
                </pic:pic>
              </a:graphicData>
            </a:graphic>
          </wp:inline>
        </w:drawing>
      </w:r>
    </w:p>
    <w:p>
      <w:r>
        <w:t>Key points:</w:t>
      </w:r>
    </w:p>
    <w:p>
      <w:r>
        <w:t>- Explain traditional skin effect.</w:t>
      </w:r>
    </w:p>
    <w:p>
      <w:r>
        <w:t>- Discover point service science serve.</w:t>
      </w:r>
    </w:p>
    <w:p>
      <w:r>
        <w:t>- She machine risk which.</w:t>
      </w:r>
    </w:p>
    <w:p>
      <w:r>
        <w:t>[1] Victor Lester III, Neal LLC (2008)</w:t>
      </w:r>
    </w:p>
    <w:p>
      <w:r>
        <w:t>Footnote: Serve executive act his morning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