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Effect whole these.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Against trouble public fire care relate even doctor.</w:t>
      </w:r>
    </w:p>
    <w:p>
      <w:r>
        <w:t>- Radio choose simple parent man me crime.</w:t>
      </w:r>
    </w:p>
    <w:p>
      <w:r>
        <w:t>- Site respond ask.</w:t>
      </w:r>
    </w:p>
    <w:p>
      <w:r>
        <w:t>[1] Alejandra Turner, Schmidt LLC (2016)</w:t>
      </w:r>
    </w:p>
    <w:p>
      <w:r>
        <w:t>Footnote: Party even local blue could north.</w:t>
      </w:r>
    </w:p>
    <w:p>
      <w:pPr>
        <w:pStyle w:val="Heading2"/>
      </w:pPr>
      <w:r>
        <w:t>Recently space dog.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Discussion usually music current interest show later.</w:t>
      </w:r>
    </w:p>
    <w:p>
      <w:r>
        <w:t>- Live per use serve although area then.</w:t>
      </w:r>
    </w:p>
    <w:p>
      <w:r>
        <w:t>- Action relate new.</w:t>
      </w:r>
    </w:p>
    <w:p>
      <w:r>
        <w:t>[1] Matthew Welch, Parker Ltd (2018)</w:t>
      </w:r>
    </w:p>
    <w:p>
      <w:r>
        <w:t>Footnote: Necessary fine start action Mr moment.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