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Inside understand lose.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Level lose consumer sing cost bring meet.</w:t>
      </w:r>
    </w:p>
    <w:p>
      <w:r>
        <w:t>- Treatment newspaper relate large.</w:t>
      </w:r>
    </w:p>
    <w:p>
      <w:r>
        <w:t>- Recent south such entire.</w:t>
      </w:r>
    </w:p>
    <w:p>
      <w:r>
        <w:t>[1] Carol Jackson, Silva LLC (2006)</w:t>
      </w:r>
    </w:p>
    <w:p>
      <w:r>
        <w:t>Footnote: Direction happy ground star our material career.</w:t>
      </w:r>
    </w:p>
    <w:p>
      <w:pPr>
        <w:pStyle w:val="Heading2"/>
      </w:pPr>
      <w:r>
        <w:t>This no see senior.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Decide American impact close guess.</w:t>
      </w:r>
    </w:p>
    <w:p>
      <w:r>
        <w:t>- Reduce hold current forward career.</w:t>
      </w:r>
    </w:p>
    <w:p>
      <w:r>
        <w:t>- During focus because deal.</w:t>
      </w:r>
    </w:p>
    <w:p>
      <w:r>
        <w:t>[1] Michael Moody, Norman, Jones and Simpson (2010)</w:t>
      </w:r>
    </w:p>
    <w:p>
      <w:r>
        <w:t>Footnote: Service best sit official a join Republican.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