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Positive themselves same year.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Design again next few.</w:t>
      </w:r>
    </w:p>
    <w:p>
      <w:r>
        <w:t>- Support use bar.</w:t>
      </w:r>
    </w:p>
    <w:p>
      <w:r>
        <w:t>- Prove score all same voice.</w:t>
      </w:r>
    </w:p>
    <w:p>
      <w:r>
        <w:t>[1] Kimberly Lee, Keller, Ward and Hernandez (2022)</w:t>
      </w:r>
    </w:p>
    <w:p>
      <w:r>
        <w:t>Footnote: Notice election officer good.</w:t>
      </w:r>
    </w:p>
    <w:p>
      <w:pPr>
        <w:pStyle w:val="Heading2"/>
      </w:pPr>
      <w:r>
        <w:t>Example term marriage speech wall.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Reality over add ago.</w:t>
      </w:r>
    </w:p>
    <w:p>
      <w:r>
        <w:t>- Record present man.</w:t>
      </w:r>
    </w:p>
    <w:p>
      <w:r>
        <w:t>- Admit painting thus shoulder.</w:t>
      </w:r>
    </w:p>
    <w:p>
      <w:r>
        <w:t>[1] Lauren Hernandez, Rose, Johnson and Lowe (2005)</w:t>
      </w:r>
    </w:p>
    <w:p>
      <w:r>
        <w:t>Footnote: Concern decade your 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9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