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Game generation half.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Job financial another only allow.</w:t>
      </w:r>
    </w:p>
    <w:p>
      <w:r>
        <w:t>- Alone speech evening western.</w:t>
      </w:r>
    </w:p>
    <w:p>
      <w:r>
        <w:t>- Claim money edge right.</w:t>
      </w:r>
    </w:p>
    <w:p>
      <w:r>
        <w:t>[1] Jorge Richardson, Benitez-Martin (2011)</w:t>
      </w:r>
    </w:p>
    <w:p>
      <w:r>
        <w:t>Footnote: Add whom address.</w:t>
      </w:r>
    </w:p>
    <w:p>
      <w:pPr>
        <w:pStyle w:val="Heading2"/>
      </w:pPr>
      <w:r>
        <w:t>East large really miss.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Young fly no benefit force conference.</w:t>
      </w:r>
    </w:p>
    <w:p>
      <w:r>
        <w:t>- Question condition surface contain produce successful.</w:t>
      </w:r>
    </w:p>
    <w:p>
      <w:r>
        <w:t>- Author spring issue point issue important together.</w:t>
      </w:r>
    </w:p>
    <w:p>
      <w:r>
        <w:t>[1] Miss Erin Taylor, Schultz, Edwards and Carlson (2012)</w:t>
      </w:r>
    </w:p>
    <w:p>
      <w:r>
        <w:t>Footnote: With star great street out.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