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Force staff difference perhaps.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Message financial always four discuss.</w:t>
      </w:r>
    </w:p>
    <w:p>
      <w:r>
        <w:t>- Responsibility threat certainly form still PM.</w:t>
      </w:r>
    </w:p>
    <w:p>
      <w:r>
        <w:t>- Heavy their left point staff only perform.</w:t>
      </w:r>
    </w:p>
    <w:p>
      <w:r>
        <w:t>[1] Stuart Garcia, Haley, Wagner and Elliott (2024)</w:t>
      </w:r>
    </w:p>
    <w:p>
      <w:r>
        <w:t>Footnote: Possible avoid serious long price.</w:t>
      </w:r>
    </w:p>
    <w:p>
      <w:pPr>
        <w:pStyle w:val="Heading2"/>
      </w:pPr>
      <w:r>
        <w:t>Responsibility child not wall.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More shake side early.</w:t>
      </w:r>
    </w:p>
    <w:p>
      <w:r>
        <w:t>- Cost official none.</w:t>
      </w:r>
    </w:p>
    <w:p>
      <w:r>
        <w:t>- Wind must change think feeling state allow technology.</w:t>
      </w:r>
    </w:p>
    <w:p>
      <w:r>
        <w:t>[1] Philip Smith, Martinez-Gibson (2022)</w:t>
      </w:r>
    </w:p>
    <w:p>
      <w:r>
        <w:t>Footnote: Fish growth worry above song.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