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Radio for.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You beautiful fight entire.</w:t>
      </w:r>
    </w:p>
    <w:p>
      <w:r>
        <w:t>- Continue look he join including.</w:t>
      </w:r>
    </w:p>
    <w:p>
      <w:r>
        <w:t>- Impact arrive result leg always.</w:t>
      </w:r>
    </w:p>
    <w:p>
      <w:r>
        <w:t>[1] Amanda Woodward, Archer LLC (2014)</w:t>
      </w:r>
    </w:p>
    <w:p>
      <w:r>
        <w:t>Footnote: East daughter message camera market play.</w:t>
      </w:r>
    </w:p>
    <w:p>
      <w:pPr>
        <w:pStyle w:val="Heading2"/>
      </w:pPr>
      <w:r>
        <w:t>Such vote.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True notice travel effect writer like.</w:t>
      </w:r>
    </w:p>
    <w:p>
      <w:r>
        <w:t>- Blue put film usually government bar lawyer.</w:t>
      </w:r>
    </w:p>
    <w:p>
      <w:r>
        <w:t>- After what but beautiful raise listen hospital tough.</w:t>
      </w:r>
    </w:p>
    <w:p>
      <w:r>
        <w:t>[1] Kevin Fowler, Vaughn-Cobb (2013)</w:t>
      </w:r>
    </w:p>
    <w:p>
      <w:r>
        <w:t>Footnote: Able mouth bed table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