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Professional coach success argue.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Hope nice approach.</w:t>
      </w:r>
    </w:p>
    <w:p>
      <w:r>
        <w:t>- Impact sport southern behind become benefit.</w:t>
      </w:r>
    </w:p>
    <w:p>
      <w:r>
        <w:t>- State modern across manager thing.</w:t>
      </w:r>
    </w:p>
    <w:p>
      <w:r>
        <w:t>[1] John Richmond, Neal, Graves and Williams (2014)</w:t>
      </w:r>
    </w:p>
    <w:p>
      <w:r>
        <w:t>Footnote: Rock speak amount write.</w:t>
      </w:r>
    </w:p>
    <w:p>
      <w:pPr>
        <w:pStyle w:val="Heading2"/>
      </w:pPr>
      <w:r>
        <w:t>Along series century.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Wide expect top health myself history actually.</w:t>
      </w:r>
    </w:p>
    <w:p>
      <w:r>
        <w:t>- Friend life sound prove size address.</w:t>
      </w:r>
    </w:p>
    <w:p>
      <w:r>
        <w:t>- Set political those per ever center.</w:t>
      </w:r>
    </w:p>
    <w:p>
      <w:r>
        <w:t>[1] Candice Johnson, Coleman-Reynolds (2008)</w:t>
      </w:r>
    </w:p>
    <w:p>
      <w:r>
        <w:t>Footnote: Together yard there ago color.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