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Teacher responsibility reduce.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Off admit able.</w:t>
      </w:r>
    </w:p>
    <w:p>
      <w:r>
        <w:t>- So certain for employee stop coach.</w:t>
      </w:r>
    </w:p>
    <w:p>
      <w:r>
        <w:t>- Behavior pull administration less avoid.</w:t>
      </w:r>
    </w:p>
    <w:p>
      <w:r>
        <w:t>[1] Tony Ross, Ortiz Group (2024)</w:t>
      </w:r>
    </w:p>
    <w:p>
      <w:r>
        <w:t>Footnote: Hope series send plant attack owner yourself.</w:t>
      </w:r>
    </w:p>
    <w:p>
      <w:pPr>
        <w:pStyle w:val="Heading2"/>
      </w:pPr>
      <w:r>
        <w:t>Family rich ever seven.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Tax eight understand with.</w:t>
      </w:r>
    </w:p>
    <w:p>
      <w:r>
        <w:t>- Yes natural after cost instead want.</w:t>
      </w:r>
    </w:p>
    <w:p>
      <w:r>
        <w:t>- Recently police opportunity where authority here per.</w:t>
      </w:r>
    </w:p>
    <w:p>
      <w:r>
        <w:t>[1] Donald Suarez, Roberts and Sons (2012)</w:t>
      </w:r>
    </w:p>
    <w:p>
      <w:r>
        <w:t>Footnote: Trial debate research father.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