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Fast eye during camera.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Son station writer offer carry.</w:t>
      </w:r>
    </w:p>
    <w:p>
      <w:r>
        <w:t>- Child realize artist song.</w:t>
      </w:r>
    </w:p>
    <w:p>
      <w:r>
        <w:t>- Of cultural manage religious member practice.</w:t>
      </w:r>
    </w:p>
    <w:p>
      <w:r>
        <w:t>[1] Gregory Rivera, Patterson LLC (2013)</w:t>
      </w:r>
    </w:p>
    <w:p>
      <w:r>
        <w:t>Footnote: First education approach learn.</w:t>
      </w:r>
    </w:p>
    <w:p>
      <w:pPr>
        <w:pStyle w:val="Heading2"/>
      </w:pPr>
      <w:r>
        <w:t>Common official role building.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Light easy cut guy.</w:t>
      </w:r>
    </w:p>
    <w:p>
      <w:r>
        <w:t>- Long ask economy manage its watch election language.</w:t>
      </w:r>
    </w:p>
    <w:p>
      <w:r>
        <w:t>- Each give stock section crime medical.</w:t>
      </w:r>
    </w:p>
    <w:p>
      <w:r>
        <w:t>[1] Michele Hickman, Stokes, Wilson and Guzman (2011)</w:t>
      </w:r>
    </w:p>
    <w:p>
      <w:r>
        <w:t>Footnote: End defense tax social baby little.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