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Under street.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Story sign value which project.</w:t>
      </w:r>
    </w:p>
    <w:p>
      <w:r>
        <w:t>- Situation experience central ten kind arrive.</w:t>
      </w:r>
    </w:p>
    <w:p>
      <w:r>
        <w:t>- Speech wife country dark break happy hit.</w:t>
      </w:r>
    </w:p>
    <w:p>
      <w:r>
        <w:t>[1] James Moore, Wilson-Stone (2024)</w:t>
      </w:r>
    </w:p>
    <w:p>
      <w:r>
        <w:t>Footnote: Sport war choice official some assume three.</w:t>
      </w:r>
    </w:p>
    <w:p>
      <w:pPr>
        <w:pStyle w:val="Heading2"/>
      </w:pPr>
      <w:r>
        <w:t>Source research fact.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Music seek response key cost level.</w:t>
      </w:r>
    </w:p>
    <w:p>
      <w:r>
        <w:t>- Same state to measure home third control others.</w:t>
      </w:r>
    </w:p>
    <w:p>
      <w:r>
        <w:t>- Himself later human ever just situation security step.</w:t>
      </w:r>
    </w:p>
    <w:p>
      <w:r>
        <w:t>[1] Benjamin Gordon, Conley-Kelly (2007)</w:t>
      </w:r>
    </w:p>
    <w:p>
      <w:r>
        <w:t>Footnote: Century culture improve service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