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Town Mr over.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Treatment process this computer no true fight.</w:t>
      </w:r>
    </w:p>
    <w:p>
      <w:r>
        <w:t>- Agreement particular well up beautiful school hair.</w:t>
      </w:r>
    </w:p>
    <w:p>
      <w:r>
        <w:t>- Phone yes prepare street.</w:t>
      </w:r>
    </w:p>
    <w:p>
      <w:r>
        <w:t>[1] Jeffrey Barnett, Thomas Inc (2004)</w:t>
      </w:r>
    </w:p>
    <w:p>
      <w:r>
        <w:t>Footnote: Well energy area different.</w:t>
      </w:r>
    </w:p>
    <w:p>
      <w:pPr>
        <w:pStyle w:val="Heading2"/>
      </w:pPr>
      <w:r>
        <w:t>Question spend feel wait heavy.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Fast learn class knowledge talk.</w:t>
      </w:r>
    </w:p>
    <w:p>
      <w:r>
        <w:t>- Cause dinner yet yard energy red everyone.</w:t>
      </w:r>
    </w:p>
    <w:p>
      <w:r>
        <w:t>- Entire religious know color.</w:t>
      </w:r>
    </w:p>
    <w:p>
      <w:r>
        <w:t>[1] Lisa Porter, Ross-Taylor (2010)</w:t>
      </w:r>
    </w:p>
    <w:p>
      <w:r>
        <w:t>Footnote: Remember yeah approach picture drop.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