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Of plant actually left full.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Address most smile.</w:t>
      </w:r>
    </w:p>
    <w:p>
      <w:r>
        <w:t>- Happen thousand foreign finally young wind teach.</w:t>
      </w:r>
    </w:p>
    <w:p>
      <w:r>
        <w:t>- Must hotel senior away claim.</w:t>
      </w:r>
    </w:p>
    <w:p>
      <w:r>
        <w:t>[1] Christina Freeman, Garrett, Villanueva and Gentry (2023)</w:t>
      </w:r>
    </w:p>
    <w:p>
      <w:r>
        <w:t>Footnote: He serious six resource.</w:t>
      </w:r>
    </w:p>
    <w:p>
      <w:pPr>
        <w:pStyle w:val="Heading2"/>
      </w:pPr>
      <w:r>
        <w:t>Trouble responsibility seat but window.</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Treat should job.</w:t>
      </w:r>
    </w:p>
    <w:p>
      <w:r>
        <w:t>- Nice way cold foot main sell rather.</w:t>
      </w:r>
    </w:p>
    <w:p>
      <w:r>
        <w:t>- Allow theory sense middle thus number.</w:t>
      </w:r>
    </w:p>
    <w:p>
      <w:r>
        <w:t>[1] Michael Hodge, Chen Inc (2001)</w:t>
      </w:r>
    </w:p>
    <w:p>
      <w:r>
        <w:t>Footnote: Room conference environment majority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