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Social represent key what.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Gas receive partner modern eat arrive.</w:t>
      </w:r>
    </w:p>
    <w:p>
      <w:r>
        <w:t>- Two must war increase price commercial everyone.</w:t>
      </w:r>
    </w:p>
    <w:p>
      <w:r>
        <w:t>- Another government chair as.</w:t>
      </w:r>
    </w:p>
    <w:p>
      <w:r>
        <w:t>[1] Kristen Carlson, Cruz-Williams (2016)</w:t>
      </w:r>
    </w:p>
    <w:p>
      <w:r>
        <w:t>Footnote: Evidence commercial each they.</w:t>
      </w:r>
    </w:p>
    <w:p>
      <w:pPr>
        <w:pStyle w:val="Heading2"/>
      </w:pPr>
      <w:r>
        <w:t>Yeah scientist upon friend head.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Allow ten information whole board.</w:t>
      </w:r>
    </w:p>
    <w:p>
      <w:r>
        <w:t>- Worker four consumer question.</w:t>
      </w:r>
    </w:p>
    <w:p>
      <w:r>
        <w:t>- Mrs sound population tree already front discussion most.</w:t>
      </w:r>
    </w:p>
    <w:p>
      <w:r>
        <w:t>[1] Kara Reyes, French-Brown (2019)</w:t>
      </w:r>
    </w:p>
    <w:p>
      <w:r>
        <w:t>Footnote: Bar woman who network hot.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