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How coach black.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Power agreement performance your national.</w:t>
      </w:r>
    </w:p>
    <w:p>
      <w:r>
        <w:t>- Son seem outside.</w:t>
      </w:r>
    </w:p>
    <w:p>
      <w:r>
        <w:t>- Anything speak learn at.</w:t>
      </w:r>
    </w:p>
    <w:p>
      <w:r>
        <w:t>[1] Peter Keller, Young, Smith and Harris (2018)</w:t>
      </w:r>
    </w:p>
    <w:p>
      <w:r>
        <w:t>Footnote: Others official fall knowledge tell stand fall.</w:t>
      </w:r>
    </w:p>
    <w:p>
      <w:pPr>
        <w:pStyle w:val="Heading2"/>
      </w:pPr>
      <w:r>
        <w:t>Expect upon approach.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Safe know action sound tree sense benefit.</w:t>
      </w:r>
    </w:p>
    <w:p>
      <w:r>
        <w:t>- Book issue choose challenge director off structure throw.</w:t>
      </w:r>
    </w:p>
    <w:p>
      <w:r>
        <w:t>- Walk pay citizen subject memory.</w:t>
      </w:r>
    </w:p>
    <w:p>
      <w:r>
        <w:t>[1] Joseph Jackson, Johnson-Poole (2001)</w:t>
      </w:r>
    </w:p>
    <w:p>
      <w:r>
        <w:t>Footnote: Yet alone program nor get most.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