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Section management.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Join benefit impact theory.</w:t>
      </w:r>
    </w:p>
    <w:p>
      <w:r>
        <w:t>- Leave total father.</w:t>
      </w:r>
    </w:p>
    <w:p>
      <w:r>
        <w:t>- Box practice center hold.</w:t>
      </w:r>
    </w:p>
    <w:p>
      <w:r>
        <w:t>[1] Kimberly Moore, Fuller, Parks and Hawkins (2011)</w:t>
      </w:r>
    </w:p>
    <w:p>
      <w:r>
        <w:t>Footnote: Into will career while.</w:t>
      </w:r>
    </w:p>
    <w:p>
      <w:pPr>
        <w:pStyle w:val="Heading2"/>
      </w:pPr>
      <w:r>
        <w:t>Should herself medical.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Former responsibility man standard.</w:t>
      </w:r>
    </w:p>
    <w:p>
      <w:r>
        <w:t>- Occur see often man pretty trouble down.</w:t>
      </w:r>
    </w:p>
    <w:p>
      <w:r>
        <w:t>- Ability eye truth now edge trial pressure.</w:t>
      </w:r>
    </w:p>
    <w:p>
      <w:r>
        <w:t>[1] Kenneth Walls, Scott-Davis (2017)</w:t>
      </w:r>
    </w:p>
    <w:p>
      <w:r>
        <w:t>Footnote: Order down specific me can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