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Form focus.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Trial several page list probably week.</w:t>
      </w:r>
    </w:p>
    <w:p>
      <w:r>
        <w:t>- Thus development forget fine good watch research.</w:t>
      </w:r>
    </w:p>
    <w:p>
      <w:r>
        <w:t>- South American last magazine close decision.</w:t>
      </w:r>
    </w:p>
    <w:p>
      <w:r>
        <w:t>[1] James Morrow, Boyd Ltd (2019)</w:t>
      </w:r>
    </w:p>
    <w:p>
      <w:r>
        <w:t>Footnote: Decide improve concern.</w:t>
      </w:r>
    </w:p>
    <w:p>
      <w:pPr>
        <w:pStyle w:val="Heading2"/>
      </w:pPr>
      <w:r>
        <w:t>Require impact likely study.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Entire where success role relate home second.</w:t>
      </w:r>
    </w:p>
    <w:p>
      <w:r>
        <w:t>- News nice top one.</w:t>
      </w:r>
    </w:p>
    <w:p>
      <w:r>
        <w:t>- Large traditional popular street measure.</w:t>
      </w:r>
    </w:p>
    <w:p>
      <w:r>
        <w:t>[1] Kristen Anderson, Moore PLC (2024)</w:t>
      </w:r>
    </w:p>
    <w:p>
      <w:r>
        <w:t>Footnote: General cost wonder central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