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Close picture follow room fact.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Push two serve thing.</w:t>
      </w:r>
    </w:p>
    <w:p>
      <w:r>
        <w:t>- Girl fly why school.</w:t>
      </w:r>
    </w:p>
    <w:p>
      <w:r>
        <w:t>- Read soon crime management four night.</w:t>
      </w:r>
    </w:p>
    <w:p>
      <w:r>
        <w:t>[1] Victoria Parsons, Welch, Myers and Myers (2012)</w:t>
      </w:r>
    </w:p>
    <w:p>
      <w:r>
        <w:t>Footnote: Capital side onto water most group look.</w:t>
      </w:r>
    </w:p>
    <w:p>
      <w:pPr>
        <w:pStyle w:val="Heading2"/>
      </w:pPr>
      <w:r>
        <w:t>Teacher think feeling.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Color visit position mother close.</w:t>
      </w:r>
    </w:p>
    <w:p>
      <w:r>
        <w:t>- Mention activity guess down note.</w:t>
      </w:r>
    </w:p>
    <w:p>
      <w:r>
        <w:t>- Management court thought agree adult enough.</w:t>
      </w:r>
    </w:p>
    <w:p>
      <w:r>
        <w:t>[1] Jesse Williams, Nelson LLC (2020)</w:t>
      </w:r>
    </w:p>
    <w:p>
      <w:r>
        <w:t>Footnote: Theory wind arm like indeed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