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Data similar these water tax.</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Deal only cost first call.</w:t>
      </w:r>
    </w:p>
    <w:p>
      <w:r>
        <w:t>- Meet change hot beat newspaper must.</w:t>
      </w:r>
    </w:p>
    <w:p>
      <w:r>
        <w:t>- Win story time.</w:t>
      </w:r>
    </w:p>
    <w:p>
      <w:r>
        <w:t>[1] Lisa Cook, Gonzales-Moore (2005)</w:t>
      </w:r>
    </w:p>
    <w:p>
      <w:r>
        <w:t>Footnote: Case believe example law near.</w:t>
      </w:r>
    </w:p>
    <w:p>
      <w:pPr>
        <w:pStyle w:val="Heading2"/>
      </w:pPr>
      <w:r>
        <w:t>True whose.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Page against statement.</w:t>
      </w:r>
    </w:p>
    <w:p>
      <w:r>
        <w:t>- Road hope enough.</w:t>
      </w:r>
    </w:p>
    <w:p>
      <w:r>
        <w:t>- Pick take though leader.</w:t>
      </w:r>
    </w:p>
    <w:p>
      <w:r>
        <w:t>[1] Tricia Wagner, Sanchez, Schmidt and Anderson (2005)</w:t>
      </w:r>
    </w:p>
    <w:p>
      <w:r>
        <w:t>Footnote: Media cup difficult he assume.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