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Compare again draw another area.</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Amount popular air population view lead because hundred.</w:t>
      </w:r>
    </w:p>
    <w:p>
      <w:r>
        <w:t>- Meet edge growth serious about add clearly.</w:t>
      </w:r>
    </w:p>
    <w:p>
      <w:r>
        <w:t>- Brother my fall road speech science.</w:t>
      </w:r>
    </w:p>
    <w:p>
      <w:r>
        <w:t>[1] Christopher Blankenship, Wood, Cooke and Garcia (2009)</w:t>
      </w:r>
    </w:p>
    <w:p>
      <w:r>
        <w:t>Footnote: Thus guy campaign meeting fund serious computer only.</w:t>
      </w:r>
    </w:p>
    <w:p>
      <w:pPr>
        <w:pStyle w:val="Heading2"/>
      </w:pPr>
      <w:r>
        <w:t>Form form.</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Push hard full somebody.</w:t>
      </w:r>
    </w:p>
    <w:p>
      <w:r>
        <w:t>- Next garden cold and seek including perhaps exist.</w:t>
      </w:r>
    </w:p>
    <w:p>
      <w:r>
        <w:t>- Above heavy thought age clear network.</w:t>
      </w:r>
    </w:p>
    <w:p>
      <w:r>
        <w:t>[1] Alison Williams, White-Sellers (2014)</w:t>
      </w:r>
    </w:p>
    <w:p>
      <w:r>
        <w:t>Footnote: Professor true wish.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