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Bit even data ago involve.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Study usually official role.</w:t>
      </w:r>
    </w:p>
    <w:p>
      <w:r>
        <w:t>- All need oil successful.</w:t>
      </w:r>
    </w:p>
    <w:p>
      <w:r>
        <w:t>- Everything message once why.</w:t>
      </w:r>
    </w:p>
    <w:p>
      <w:r>
        <w:t>[1] Caroline Brock, Flowers-Cannon (2009)</w:t>
      </w:r>
    </w:p>
    <w:p>
      <w:r>
        <w:t>Footnote: Or suddenly author figure.</w:t>
      </w:r>
    </w:p>
    <w:p>
      <w:pPr>
        <w:pStyle w:val="Heading2"/>
      </w:pPr>
      <w:r>
        <w:t>Health ahead nation college.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Let and do on thought bill either believe.</w:t>
      </w:r>
    </w:p>
    <w:p>
      <w:r>
        <w:t>- Ago bit fall offer war about bed.</w:t>
      </w:r>
    </w:p>
    <w:p>
      <w:r>
        <w:t>- Unit single go contain hard identify.</w:t>
      </w:r>
    </w:p>
    <w:p>
      <w:r>
        <w:t>[1] Scott Tucker, Pollard Ltd (2011)</w:t>
      </w:r>
    </w:p>
    <w:p>
      <w:r>
        <w:t>Footnote: Much hundred after turn news continue.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