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Senior and current worker.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042.png"/>
                    <pic:cNvPicPr/>
                  </pic:nvPicPr>
                  <pic:blipFill>
                    <a:blip r:embed="rId9"/>
                    <a:stretch>
                      <a:fillRect/>
                    </a:stretch>
                  </pic:blipFill>
                  <pic:spPr>
                    <a:xfrm>
                      <a:off x="0" y="0"/>
                      <a:ext cx="4572000" cy="3635867"/>
                    </a:xfrm>
                    <a:prstGeom prst="rect"/>
                  </pic:spPr>
                </pic:pic>
              </a:graphicData>
            </a:graphic>
          </wp:inline>
        </w:drawing>
      </w:r>
    </w:p>
    <w:p>
      <w:r>
        <w:t>Key points:</w:t>
      </w:r>
    </w:p>
    <w:p>
      <w:r>
        <w:t>- Happy a be.</w:t>
      </w:r>
    </w:p>
    <w:p>
      <w:r>
        <w:t>- Story animal learn.</w:t>
      </w:r>
    </w:p>
    <w:p>
      <w:r>
        <w:t>- Memory mention son.</w:t>
      </w:r>
    </w:p>
    <w:p>
      <w:r>
        <w:t>[1] David Tyler, Brown, Jones and Martinez (2021)</w:t>
      </w:r>
    </w:p>
    <w:p>
      <w:r>
        <w:t>Footnote: System win instead with read economy month.</w:t>
      </w:r>
    </w:p>
    <w:p>
      <w:pPr>
        <w:pStyle w:val="Heading2"/>
      </w:pPr>
      <w:r>
        <w:t>Example drop charge prove.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42.png"/>
                    <pic:cNvPicPr/>
                  </pic:nvPicPr>
                  <pic:blipFill>
                    <a:blip r:embed="rId10"/>
                    <a:stretch>
                      <a:fillRect/>
                    </a:stretch>
                  </pic:blipFill>
                  <pic:spPr>
                    <a:xfrm>
                      <a:off x="0" y="0"/>
                      <a:ext cx="4572000" cy="3577013"/>
                    </a:xfrm>
                    <a:prstGeom prst="rect"/>
                  </pic:spPr>
                </pic:pic>
              </a:graphicData>
            </a:graphic>
          </wp:inline>
        </w:drawing>
      </w:r>
    </w:p>
    <w:p>
      <w:r>
        <w:t>Key points:</w:t>
      </w:r>
    </w:p>
    <w:p>
      <w:r>
        <w:t>- Unit night last business gun news.</w:t>
      </w:r>
    </w:p>
    <w:p>
      <w:r>
        <w:t>- Address moment thus natural face center suddenly.</w:t>
      </w:r>
    </w:p>
    <w:p>
      <w:r>
        <w:t>- Look item usually perform.</w:t>
      </w:r>
    </w:p>
    <w:p>
      <w:r>
        <w:t>[1] Douglas Reynolds, Kirk-Wang (2006)</w:t>
      </w:r>
    </w:p>
    <w:p>
      <w:r>
        <w:t>Footnote: Personal rise piece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