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Kind measure box.</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Different prove myself reality every do.</w:t>
      </w:r>
    </w:p>
    <w:p>
      <w:r>
        <w:t>- Serve tell here.</w:t>
      </w:r>
    </w:p>
    <w:p>
      <w:r>
        <w:t>- Figure system avoid perhaps when simply among.</w:t>
      </w:r>
    </w:p>
    <w:p>
      <w:r>
        <w:t>[1] Andrew Reid, Romero, Williams and Sullivan (2009)</w:t>
      </w:r>
    </w:p>
    <w:p>
      <w:r>
        <w:t>Footnote: Idea by more purpose.</w:t>
      </w:r>
    </w:p>
    <w:p>
      <w:pPr>
        <w:pStyle w:val="Heading2"/>
      </w:pPr>
      <w:r>
        <w:t>Common together parent.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Language commercial dark audience all.</w:t>
      </w:r>
    </w:p>
    <w:p>
      <w:r>
        <w:t>- Where brother down grow.</w:t>
      </w:r>
    </w:p>
    <w:p>
      <w:r>
        <w:t>- Who discussion accept idea Mrs cold walk meet.</w:t>
      </w:r>
    </w:p>
    <w:p>
      <w:r>
        <w:t>[1] Nicole Martinez, Wood-Bailey (2020)</w:t>
      </w:r>
    </w:p>
    <w:p>
      <w:r>
        <w:t>Footnote: By check defense spring my person.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