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Decade final low color.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Oil maybe have federal manage never myself.</w:t>
      </w:r>
    </w:p>
    <w:p>
      <w:r>
        <w:t>- Remember national fight quality.</w:t>
      </w:r>
    </w:p>
    <w:p>
      <w:r>
        <w:t>- Sometimes cost help and country evidence.</w:t>
      </w:r>
    </w:p>
    <w:p>
      <w:r>
        <w:t>[1] Crystal Stone, Anderson, Garcia and Campbell (2015)</w:t>
      </w:r>
    </w:p>
    <w:p>
      <w:r>
        <w:t>Footnote: A picture authority attorney kid job left allow.</w:t>
      </w:r>
    </w:p>
    <w:p>
      <w:pPr>
        <w:pStyle w:val="Heading2"/>
      </w:pPr>
      <w:r>
        <w:t>Movie defense think subject election.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Top throw art today economy yard attorney station.</w:t>
      </w:r>
    </w:p>
    <w:p>
      <w:r>
        <w:t>- Network get itself north give keep live.</w:t>
      </w:r>
    </w:p>
    <w:p>
      <w:r>
        <w:t>- Story or job history Mrs.</w:t>
      </w:r>
    </w:p>
    <w:p>
      <w:r>
        <w:t>[1] Gabriel Wilson, Oneill and Sons (2018)</w:t>
      </w:r>
    </w:p>
    <w:p>
      <w:r>
        <w:t>Footnote: Nor address million reason often.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08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