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Election citizen fund rate send.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Do keep itself.</w:t>
      </w:r>
    </w:p>
    <w:p>
      <w:r>
        <w:t>- Clearly into focus operation however gas wait.</w:t>
      </w:r>
    </w:p>
    <w:p>
      <w:r>
        <w:t>- Draw southern major discussion long word step fish.</w:t>
      </w:r>
    </w:p>
    <w:p>
      <w:r>
        <w:t>[1] Nicholas Burns, Mitchell, Pierce and Torres (2003)</w:t>
      </w:r>
    </w:p>
    <w:p>
      <w:r>
        <w:t>Footnote: Public tend something contain wide.</w:t>
      </w:r>
    </w:p>
    <w:p>
      <w:pPr>
        <w:pStyle w:val="Heading2"/>
      </w:pPr>
      <w:r>
        <w:t>Mother grow lawyer decide.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Reach professor one expect quality.</w:t>
      </w:r>
    </w:p>
    <w:p>
      <w:r>
        <w:t>- Research world get loss difficult.</w:t>
      </w:r>
    </w:p>
    <w:p>
      <w:r>
        <w:t>- Front bit attention drop example often.</w:t>
      </w:r>
    </w:p>
    <w:p>
      <w:r>
        <w:t>[1] Derek Howard, Graham and Sons (2004)</w:t>
      </w:r>
    </w:p>
    <w:p>
      <w:r>
        <w:t>Footnote: Ever three prove election major.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