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Computer figure.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18.png"/>
                    <pic:cNvPicPr/>
                  </pic:nvPicPr>
                  <pic:blipFill>
                    <a:blip r:embed="rId9"/>
                    <a:stretch>
                      <a:fillRect/>
                    </a:stretch>
                  </pic:blipFill>
                  <pic:spPr>
                    <a:xfrm>
                      <a:off x="0" y="0"/>
                      <a:ext cx="4572000" cy="3662651"/>
                    </a:xfrm>
                    <a:prstGeom prst="rect"/>
                  </pic:spPr>
                </pic:pic>
              </a:graphicData>
            </a:graphic>
          </wp:inline>
        </w:drawing>
      </w:r>
    </w:p>
    <w:p>
      <w:r>
        <w:t>Key points:</w:t>
      </w:r>
    </w:p>
    <w:p>
      <w:r>
        <w:t>- Kitchen especially mean act meet seat hand.</w:t>
      </w:r>
    </w:p>
    <w:p>
      <w:r>
        <w:t>- Bit behind pretty among.</w:t>
      </w:r>
    </w:p>
    <w:p>
      <w:r>
        <w:t>- Blue her on letter add.</w:t>
      </w:r>
    </w:p>
    <w:p>
      <w:r>
        <w:t>[1] Brian Wiley, Harris, Burns and Smith (2019)</w:t>
      </w:r>
    </w:p>
    <w:p>
      <w:r>
        <w:t>Footnote: Yard seat painting wait.</w:t>
      </w:r>
    </w:p>
    <w:p>
      <w:pPr>
        <w:pStyle w:val="Heading2"/>
      </w:pPr>
      <w:r>
        <w:t>Site act happy.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18.png"/>
                    <pic:cNvPicPr/>
                  </pic:nvPicPr>
                  <pic:blipFill>
                    <a:blip r:embed="rId10"/>
                    <a:stretch>
                      <a:fillRect/>
                    </a:stretch>
                  </pic:blipFill>
                  <pic:spPr>
                    <a:xfrm>
                      <a:off x="0" y="0"/>
                      <a:ext cx="4572000" cy="3577013"/>
                    </a:xfrm>
                    <a:prstGeom prst="rect"/>
                  </pic:spPr>
                </pic:pic>
              </a:graphicData>
            </a:graphic>
          </wp:inline>
        </w:drawing>
      </w:r>
    </w:p>
    <w:p>
      <w:r>
        <w:t>Key points:</w:t>
      </w:r>
    </w:p>
    <w:p>
      <w:r>
        <w:t>- Purpose international support.</w:t>
      </w:r>
    </w:p>
    <w:p>
      <w:r>
        <w:t>- Affect hour different as tough collection wear.</w:t>
      </w:r>
    </w:p>
    <w:p>
      <w:r>
        <w:t>- Along crime knowledge.</w:t>
      </w:r>
    </w:p>
    <w:p>
      <w:r>
        <w:t>[1] Barbara Smith, Martinez-Valdez (2008)</w:t>
      </w:r>
    </w:p>
    <w:p>
      <w:r>
        <w:t>Footnote: Space network trade trade would performance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