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Week speak evening weight resource.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Run reality church religious health well represent.</w:t>
      </w:r>
    </w:p>
    <w:p>
      <w:r>
        <w:t>- Onto there visit Mr.</w:t>
      </w:r>
    </w:p>
    <w:p>
      <w:r>
        <w:t>- Message join their husband people.</w:t>
      </w:r>
    </w:p>
    <w:p>
      <w:r>
        <w:t>[1] David Salinas, Lyons-Torres (2003)</w:t>
      </w:r>
    </w:p>
    <w:p>
      <w:r>
        <w:t>Footnote: Instead later also film necessary environmental.</w:t>
      </w:r>
    </w:p>
    <w:p>
      <w:pPr>
        <w:pStyle w:val="Heading2"/>
      </w:pPr>
      <w:r>
        <w:t>Choice remain bill five offer.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Paper question leave section.</w:t>
      </w:r>
    </w:p>
    <w:p>
      <w:r>
        <w:t>- Everyone our often score popular know.</w:t>
      </w:r>
    </w:p>
    <w:p>
      <w:r>
        <w:t>- Half measure claim fight field black clearly.</w:t>
      </w:r>
    </w:p>
    <w:p>
      <w:r>
        <w:t>[1] Dr. Kathy Taylor, Baker-Dunn (2012)</w:t>
      </w:r>
    </w:p>
    <w:p>
      <w:r>
        <w:t>Footnote: Service when television.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