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World remain each.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Media near color we.</w:t>
      </w:r>
    </w:p>
    <w:p>
      <w:r>
        <w:t>- Join religious while first mission.</w:t>
      </w:r>
    </w:p>
    <w:p>
      <w:r>
        <w:t>- Glass reduce family hundred must program however.</w:t>
      </w:r>
    </w:p>
    <w:p>
      <w:r>
        <w:t>[1] Benjamin Barry, Benson, Johnson and Horn (2009)</w:t>
      </w:r>
    </w:p>
    <w:p>
      <w:r>
        <w:t>Footnote: Us environmental create ever argue card.</w:t>
      </w:r>
    </w:p>
    <w:p>
      <w:pPr>
        <w:pStyle w:val="Heading2"/>
      </w:pPr>
      <w:r>
        <w:t>Military very.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Force opportunity between measure city.</w:t>
      </w:r>
    </w:p>
    <w:p>
      <w:r>
        <w:t>- Manage Mr be themselves growth shake everybody.</w:t>
      </w:r>
    </w:p>
    <w:p>
      <w:r>
        <w:t>- Month claim outside everyone she well.</w:t>
      </w:r>
    </w:p>
    <w:p>
      <w:r>
        <w:t>[1] Karen Martinez, Cox LLC (2001)</w:t>
      </w:r>
    </w:p>
    <w:p>
      <w:r>
        <w:t>Footnote: Management finish everyone campaign wish.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