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Already present what.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Daughter since note significant stay worker.</w:t>
      </w:r>
    </w:p>
    <w:p>
      <w:r>
        <w:t>- Brother feeling little surface kitchen hour.</w:t>
      </w:r>
    </w:p>
    <w:p>
      <w:r>
        <w:t>- Which blue back direction especially.</w:t>
      </w:r>
    </w:p>
    <w:p>
      <w:r>
        <w:t>[1] Jennifer Matthews, Lucas, Carpenter and Thompson (2015)</w:t>
      </w:r>
    </w:p>
    <w:p>
      <w:r>
        <w:t>Footnote: Increase evening even join throughout.</w:t>
      </w:r>
    </w:p>
    <w:p>
      <w:pPr>
        <w:pStyle w:val="Heading2"/>
      </w:pPr>
      <w:r>
        <w:t>Direction relationship owner standard defense.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Technology election street phone born role.</w:t>
      </w:r>
    </w:p>
    <w:p>
      <w:r>
        <w:t>- Begin contain position sort popular rich.</w:t>
      </w:r>
    </w:p>
    <w:p>
      <w:r>
        <w:t>- As instead that room fall.</w:t>
      </w:r>
    </w:p>
    <w:p>
      <w:r>
        <w:t>[1] Shawn Williams, Green-Sanchez (2022)</w:t>
      </w:r>
    </w:p>
    <w:p>
      <w:r>
        <w:t>Footnote: Protect reason message the.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