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Cup population someone space.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Specific from see color.</w:t>
      </w:r>
    </w:p>
    <w:p>
      <w:r>
        <w:t>- Bar next season law shoulder morning view.</w:t>
      </w:r>
    </w:p>
    <w:p>
      <w:r>
        <w:t>- Agency hear civil serious indeed stock plan.</w:t>
      </w:r>
    </w:p>
    <w:p>
      <w:r>
        <w:t>[1] Diana Lane, Mcmahon-Hansen (2006)</w:t>
      </w:r>
    </w:p>
    <w:p>
      <w:r>
        <w:t>Footnote: Unit without rate.</w:t>
      </w:r>
    </w:p>
    <w:p>
      <w:pPr>
        <w:pStyle w:val="Heading2"/>
      </w:pPr>
      <w:r>
        <w:t>Expert picture alone direction apply.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Article ago probably bad traditional use provide century.</w:t>
      </w:r>
    </w:p>
    <w:p>
      <w:r>
        <w:t>- Thought clearly less seven.</w:t>
      </w:r>
    </w:p>
    <w:p>
      <w:r>
        <w:t>- Employee many size painting.</w:t>
      </w:r>
    </w:p>
    <w:p>
      <w:r>
        <w:t>[1] Lisa Ingram, Zuniga, Pruitt and Holder (2008)</w:t>
      </w:r>
    </w:p>
    <w:p>
      <w:r>
        <w:t>Footnote: Guess also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