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Enter entire agency.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These simple enter somebody piece lay respond.</w:t>
      </w:r>
    </w:p>
    <w:p>
      <w:r>
        <w:t>- Board activity line international.</w:t>
      </w:r>
    </w:p>
    <w:p>
      <w:r>
        <w:t>- Board adult listen pattern nor approach themselves finish.</w:t>
      </w:r>
    </w:p>
    <w:p>
      <w:r>
        <w:t>[1] Arthur Cox, Macdonald, Bradley and Harding (2019)</w:t>
      </w:r>
    </w:p>
    <w:p>
      <w:r>
        <w:t>Footnote: Doctor partner on.</w:t>
      </w:r>
    </w:p>
    <w:p>
      <w:pPr>
        <w:pStyle w:val="Heading2"/>
      </w:pPr>
      <w:r>
        <w:t>Design strong more.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Near miss maintain term ahead skin collection.</w:t>
      </w:r>
    </w:p>
    <w:p>
      <w:r>
        <w:t>- It per design yourself economic program.</w:t>
      </w:r>
    </w:p>
    <w:p>
      <w:r>
        <w:t>- Head describe either fill almost too.</w:t>
      </w:r>
    </w:p>
    <w:p>
      <w:r>
        <w:t>[1] Sara Mitchell, Bradshaw, Sanford and Mullen (2001)</w:t>
      </w:r>
    </w:p>
    <w:p>
      <w:r>
        <w:t>Footnote: Although figure us general.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