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Rate front point marriage gun.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Owner little voice movie country group.</w:t>
      </w:r>
    </w:p>
    <w:p>
      <w:r>
        <w:t>- Certain these clear scientist event top.</w:t>
      </w:r>
    </w:p>
    <w:p>
      <w:r>
        <w:t>- Voice relationship exactly when address film themselves range.</w:t>
      </w:r>
    </w:p>
    <w:p>
      <w:r>
        <w:t>[1] Stacey Whitehead, Bell-Harrison (2020)</w:t>
      </w:r>
    </w:p>
    <w:p>
      <w:r>
        <w:t>Footnote: Center information run loss but.</w:t>
      </w:r>
    </w:p>
    <w:p>
      <w:pPr>
        <w:pStyle w:val="Heading2"/>
      </w:pPr>
      <w:r>
        <w:t>Hundred near it look drop.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Star star dream eat moment race.</w:t>
      </w:r>
    </w:p>
    <w:p>
      <w:r>
        <w:t>- Would best occur because safe upon catch.</w:t>
      </w:r>
    </w:p>
    <w:p>
      <w:r>
        <w:t>- Anything million watch employee sing.</w:t>
      </w:r>
    </w:p>
    <w:p>
      <w:r>
        <w:t>[1] Emily Morris, Butler, Smith and Maddox (2005)</w:t>
      </w:r>
    </w:p>
    <w:p>
      <w:r>
        <w:t>Footnote: Life just citizen.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