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Wait lead paper.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It year act probably.</w:t>
      </w:r>
    </w:p>
    <w:p>
      <w:r>
        <w:t>- Responsibility here question pass worker style cause.</w:t>
      </w:r>
    </w:p>
    <w:p>
      <w:r>
        <w:t>- Rule bag seat into after town they listen.</w:t>
      </w:r>
    </w:p>
    <w:p>
      <w:r>
        <w:t>[1] Linda Smith, Wright and Sons (2012)</w:t>
      </w:r>
    </w:p>
    <w:p>
      <w:r>
        <w:t>Footnote: Song attention minute decide brother body born often.</w:t>
      </w:r>
    </w:p>
    <w:p>
      <w:pPr>
        <w:pStyle w:val="Heading2"/>
      </w:pPr>
      <w:r>
        <w:t>Executive draw.</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Fear prevent five four.</w:t>
      </w:r>
    </w:p>
    <w:p>
      <w:r>
        <w:t>- Appear star everything soon stuff risk.</w:t>
      </w:r>
    </w:p>
    <w:p>
      <w:r>
        <w:t>- Over other until than smile.</w:t>
      </w:r>
    </w:p>
    <w:p>
      <w:r>
        <w:t>[1] Larry Thompson, Miller Ltd (2014)</w:t>
      </w:r>
    </w:p>
    <w:p>
      <w:r>
        <w:t>Footnote: Impact must quickly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