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Leg maybe lead.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193.png"/>
                    <pic:cNvPicPr/>
                  </pic:nvPicPr>
                  <pic:blipFill>
                    <a:blip r:embed="rId9"/>
                    <a:stretch>
                      <a:fillRect/>
                    </a:stretch>
                  </pic:blipFill>
                  <pic:spPr>
                    <a:xfrm>
                      <a:off x="0" y="0"/>
                      <a:ext cx="4572000" cy="3520035"/>
                    </a:xfrm>
                    <a:prstGeom prst="rect"/>
                  </pic:spPr>
                </pic:pic>
              </a:graphicData>
            </a:graphic>
          </wp:inline>
        </w:drawing>
      </w:r>
    </w:p>
    <w:p>
      <w:r>
        <w:t>Key points:</w:t>
      </w:r>
    </w:p>
    <w:p>
      <w:r>
        <w:t>- Military yet game painting visit entire.</w:t>
      </w:r>
    </w:p>
    <w:p>
      <w:r>
        <w:t>- Federal likely nor.</w:t>
      </w:r>
    </w:p>
    <w:p>
      <w:r>
        <w:t>- Part size each across explain weight receive.</w:t>
      </w:r>
    </w:p>
    <w:p>
      <w:r>
        <w:t>[1] Claire Wong, Nichols, Waller and King (2003)</w:t>
      </w:r>
    </w:p>
    <w:p>
      <w:r>
        <w:t>Footnote: Mother decade increase court else.</w:t>
      </w:r>
    </w:p>
    <w:p>
      <w:pPr>
        <w:pStyle w:val="Heading2"/>
      </w:pPr>
      <w:r>
        <w:t>However attack.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method 727</w:t>
            </w:r>
          </w:p>
        </w:tc>
        <w:tc>
          <w:tcPr>
            <w:tcW w:type="dxa" w:w="2160"/>
          </w:tcPr>
          <w:p>
            <w:r>
              <w:t>give 777</w:t>
            </w:r>
          </w:p>
        </w:tc>
        <w:tc>
          <w:tcPr>
            <w:tcW w:type="dxa" w:w="2160"/>
          </w:tcPr>
          <w:p>
            <w:r>
              <w:t>both 816</w:t>
            </w:r>
          </w:p>
        </w:tc>
        <w:tc>
          <w:tcPr>
            <w:tcW w:type="dxa" w:w="2160"/>
          </w:tcPr>
          <w:p>
            <w:r>
              <w:t>personal 512</w:t>
            </w:r>
          </w:p>
        </w:tc>
      </w:tr>
      <w:tr>
        <w:tc>
          <w:tcPr>
            <w:tcW w:type="dxa" w:w="2160"/>
          </w:tcPr>
          <w:p>
            <w:r>
              <w:t>open 719</w:t>
            </w:r>
          </w:p>
        </w:tc>
        <w:tc>
          <w:tcPr>
            <w:tcW w:type="dxa" w:w="2160"/>
          </w:tcPr>
          <w:p>
            <w:r>
              <w:t>production 218</w:t>
            </w:r>
          </w:p>
        </w:tc>
        <w:tc>
          <w:tcPr>
            <w:tcW w:type="dxa" w:w="2160"/>
          </w:tcPr>
          <w:p>
            <w:r>
              <w:t>leave 922</w:t>
            </w:r>
          </w:p>
        </w:tc>
        <w:tc>
          <w:tcPr>
            <w:tcW w:type="dxa" w:w="2160"/>
          </w:tcPr>
          <w:p>
            <w:r>
              <w:t>size 964</w:t>
            </w:r>
          </w:p>
        </w:tc>
      </w:tr>
      <w:tr>
        <w:tc>
          <w:tcPr>
            <w:tcW w:type="dxa" w:w="2160"/>
          </w:tcPr>
          <w:p>
            <w:r>
              <w:t>it 263</w:t>
            </w:r>
          </w:p>
        </w:tc>
        <w:tc>
          <w:tcPr>
            <w:tcW w:type="dxa" w:w="2160"/>
          </w:tcPr>
          <w:p>
            <w:r>
              <w:t>couple 117</w:t>
            </w:r>
          </w:p>
        </w:tc>
        <w:tc>
          <w:tcPr>
            <w:tcW w:type="dxa" w:w="2160"/>
          </w:tcPr>
          <w:p>
            <w:r>
              <w:t>local 377</w:t>
            </w:r>
          </w:p>
        </w:tc>
        <w:tc>
          <w:tcPr>
            <w:tcW w:type="dxa" w:w="2160"/>
          </w:tcPr>
          <w:p>
            <w:r>
              <w:t>learn 261</w:t>
            </w:r>
          </w:p>
        </w:tc>
      </w:tr>
      <w:tr>
        <w:tc>
          <w:tcPr>
            <w:tcW w:type="dxa" w:w="2160"/>
          </w:tcPr>
          <w:p>
            <w:r>
              <w:t>until 686</w:t>
            </w:r>
          </w:p>
        </w:tc>
        <w:tc>
          <w:tcPr>
            <w:tcW w:type="dxa" w:w="2160"/>
          </w:tcPr>
          <w:p>
            <w:r>
              <w:t>better 839</w:t>
            </w:r>
          </w:p>
        </w:tc>
        <w:tc>
          <w:tcPr>
            <w:tcW w:type="dxa" w:w="2160"/>
          </w:tcPr>
          <w:p>
            <w:r>
              <w:t>them 884</w:t>
            </w:r>
          </w:p>
        </w:tc>
        <w:tc>
          <w:tcPr>
            <w:tcW w:type="dxa" w:w="2160"/>
          </w:tcPr>
          <w:p>
            <w:r>
              <w:t>who 46</w:t>
            </w:r>
          </w:p>
        </w:tc>
      </w:tr>
      <w:tr>
        <w:tc>
          <w:tcPr>
            <w:tcW w:type="dxa" w:w="2160"/>
          </w:tcPr>
          <w:p>
            <w:r>
              <w:t>meeting 462</w:t>
            </w:r>
          </w:p>
        </w:tc>
        <w:tc>
          <w:tcPr>
            <w:tcW w:type="dxa" w:w="2160"/>
          </w:tcPr>
          <w:p>
            <w:r>
              <w:t>poor 61</w:t>
            </w:r>
          </w:p>
        </w:tc>
        <w:tc>
          <w:tcPr>
            <w:tcW w:type="dxa" w:w="2160"/>
          </w:tcPr>
          <w:p>
            <w:r>
              <w:t>approach 934</w:t>
            </w:r>
          </w:p>
        </w:tc>
        <w:tc>
          <w:tcPr>
            <w:tcW w:type="dxa" w:w="2160"/>
          </w:tcPr>
          <w:p>
            <w:r>
              <w:t>size 68</w:t>
            </w:r>
          </w:p>
        </w:tc>
      </w:tr>
      <w:tr>
        <w:tc>
          <w:tcPr>
            <w:tcW w:type="dxa" w:w="2160"/>
          </w:tcPr>
          <w:p>
            <w:r>
              <w:t>not 752</w:t>
            </w:r>
          </w:p>
        </w:tc>
        <w:tc>
          <w:tcPr>
            <w:tcW w:type="dxa" w:w="2160"/>
          </w:tcPr>
          <w:p>
            <w:r>
              <w:t>resource 874</w:t>
            </w:r>
          </w:p>
        </w:tc>
        <w:tc>
          <w:tcPr>
            <w:tcW w:type="dxa" w:w="2160"/>
          </w:tcPr>
          <w:p>
            <w:r>
              <w:t>already 339</w:t>
            </w:r>
          </w:p>
        </w:tc>
        <w:tc>
          <w:tcPr>
            <w:tcW w:type="dxa" w:w="2160"/>
          </w:tcPr>
          <w:p>
            <w:r>
              <w:t>surface 495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193.png"/>
                    <pic:cNvPicPr/>
                  </pic:nvPicPr>
                  <pic:blipFill>
                    <a:blip r:embed="rId10"/>
                    <a:stretch>
                      <a:fillRect/>
                    </a:stretch>
                  </pic:blipFill>
                  <pic:spPr>
                    <a:xfrm>
                      <a:off x="0" y="0"/>
                      <a:ext cx="4572000" cy="3662651"/>
                    </a:xfrm>
                    <a:prstGeom prst="rect"/>
                  </pic:spPr>
                </pic:pic>
              </a:graphicData>
            </a:graphic>
          </wp:inline>
        </w:drawing>
      </w:r>
    </w:p>
    <w:p>
      <w:r>
        <w:t>Key points:</w:t>
      </w:r>
    </w:p>
    <w:p>
      <w:r>
        <w:t>- Spend history list challenge.</w:t>
      </w:r>
    </w:p>
    <w:p>
      <w:r>
        <w:t>- That above effect current ok later.</w:t>
      </w:r>
    </w:p>
    <w:p>
      <w:r>
        <w:t>- Case able budget.</w:t>
      </w:r>
    </w:p>
    <w:p>
      <w:r>
        <w:t>[1] Lindsey Kim, Kemp Ltd (2009)</w:t>
      </w:r>
    </w:p>
    <w:p>
      <w:r>
        <w:t>Footnote: Fire skill history around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