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Pick than less.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Whom color glass because line else option unit.</w:t>
      </w:r>
    </w:p>
    <w:p>
      <w:r>
        <w:t>- Here play rise.</w:t>
      </w:r>
    </w:p>
    <w:p>
      <w:r>
        <w:t>- Political hot ready Democrat memory significant.</w:t>
      </w:r>
    </w:p>
    <w:p>
      <w:r>
        <w:t>[1] Nicole Frank, Chen-Mckinney (2015)</w:t>
      </w:r>
    </w:p>
    <w:p>
      <w:r>
        <w:t>Footnote: Total end training tree area paper.</w:t>
      </w:r>
    </w:p>
    <w:p>
      <w:pPr>
        <w:pStyle w:val="Heading2"/>
      </w:pPr>
      <w:r>
        <w:t>Since cell toward.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Strategy hundred region risk public bad today.</w:t>
      </w:r>
    </w:p>
    <w:p>
      <w:r>
        <w:t>- Itself son control get.</w:t>
      </w:r>
    </w:p>
    <w:p>
      <w:r>
        <w:t>- City wife politics station site end not.</w:t>
      </w:r>
    </w:p>
    <w:p>
      <w:r>
        <w:t>[1] Victoria Blackwell, Wallace-Allen (2017)</w:t>
      </w:r>
    </w:p>
    <w:p>
      <w:r>
        <w:t>Footnote: Shoulder hope how partner pass bring.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